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b1f4f1381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SOBBL EIENDOMSMEGLING AS</w:t>
      </w:r>
    </w:p>
    <w:sectPr>
      <w:headerReference xmlns:r="http://schemas.openxmlformats.org/officeDocument/2006/relationships" w:type="default" r:id="R9efe7a690d7b4c85"/>
      <w:footerReference xmlns:r="http://schemas.openxmlformats.org/officeDocument/2006/relationships" w:type="default" r:id="R448b0ce7eee9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SOBBL EIENDOMSMEGLING AS   ·   Org.nr 994 963 821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SOBBL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e7a690d7b4c85" /><Relationship Type="http://schemas.openxmlformats.org/officeDocument/2006/relationships/footer" Target="/word/footer1.xml" Id="R448b0ce7eee9415b" /></Relationships>
</file>